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</w:rPr>
        <w:t>1</w:t>
      </w:r>
      <w:r>
        <w:rPr>
          <w:rFonts w:cs="Arial" w:ascii="Arial" w:hAnsi="Arial"/>
          <w:b/>
          <w:sz w:val="20"/>
          <w:szCs w:val="20"/>
        </w:rPr>
        <w:t>9.</w:t>
      </w:r>
      <w:r>
        <w:rPr>
          <w:rFonts w:cs="Arial" w:ascii="Arial" w:hAnsi="Arial"/>
          <w:b/>
          <w:sz w:val="20"/>
          <w:szCs w:val="20"/>
          <w:lang w:val="en-US"/>
        </w:rPr>
        <w:t>0</w:t>
      </w:r>
      <w:r>
        <w:rPr>
          <w:rFonts w:cs="Arial" w:ascii="Arial" w:hAnsi="Arial"/>
          <w:b/>
          <w:sz w:val="20"/>
          <w:szCs w:val="20"/>
          <w:lang w:val="en-US"/>
        </w:rPr>
        <w:t>4</w:t>
      </w:r>
      <w:r>
        <w:rPr>
          <w:rFonts w:cs="Arial" w:ascii="Arial" w:hAnsi="Arial"/>
          <w:b/>
          <w:sz w:val="20"/>
          <w:szCs w:val="20"/>
          <w:lang w:val="en-US"/>
        </w:rPr>
        <w:t>.2024</w:t>
      </w:r>
      <w:r>
        <w:rPr>
          <w:rFonts w:cs="Arial" w:ascii="Arial" w:hAnsi="Arial"/>
          <w:b/>
          <w:sz w:val="20"/>
          <w:szCs w:val="20"/>
        </w:rPr>
        <w:t xml:space="preserve"> р.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Прозерін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Неостигмін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0,5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27 000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760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9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943"/>
        <w:gridCol w:w="4995"/>
        <w:gridCol w:w="1057"/>
      </w:tblGrid>
      <w:tr>
        <w:trPr>
          <w:trHeight w:val="564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LibreOffice/7.5.9.2$Windows_X86_64 LibreOffice_project/cdeefe45c17511d326101eed8008ac4092f278a9</Application>
  <AppVersion>15.0000</AppVersion>
  <Pages>2</Pages>
  <Words>550</Words>
  <Characters>3018</Characters>
  <CharactersWithSpaces>4243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2023-06-28T08:32:00Z</dcterms:created>
  <dc:creator>_USER_</dc:creator>
  <dc:description/>
  <dc:language>uk-UA</dc:language>
  <cp:lastModifiedBy/>
  <cp:lastPrinted>2024-02-01T11:40:27Z</cp:lastPrinted>
  <dcterms:modified xsi:type="dcterms:W3CDTF">2024-05-06T11:49:11Z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