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по КНП « Міська дитяча лікарня №5 »ХМР станом </w:t>
      </w:r>
      <w:r>
        <w:rPr>
          <w:rFonts w:cs="Arial" w:ascii="Arial" w:hAnsi="Arial"/>
          <w:b/>
          <w:sz w:val="20"/>
          <w:szCs w:val="20"/>
          <w:lang w:val="en-US"/>
        </w:rPr>
        <w:t>21.02.2024</w:t>
      </w:r>
      <w:r>
        <w:rPr>
          <w:rFonts w:cs="Arial" w:ascii="Arial" w:hAnsi="Arial"/>
          <w:b/>
          <w:sz w:val="20"/>
          <w:szCs w:val="20"/>
        </w:rPr>
        <w:t xml:space="preserve"> р.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2692"/>
        <w:gridCol w:w="2128"/>
        <w:gridCol w:w="1416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" w:ascii="RobotoWeb" w:hAnsi="RobotoWeb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10мг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 (вітамін PP)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Алерзин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Левоцетиризин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оральні, р-н 5 мг/мл по 20 мл у флак. з крап.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Еспумізан бебі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Симетикон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ор., емульс. 100 мг/мл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Кремген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Флуоцинонід, Гентаміцин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15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Левомеколь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Метилурацил, Хлорамфенікол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40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№4 у тубах з наконеч. универс.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№12 у тубах з наконеч.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Ототон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Феназон, Лідокаїн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вуш. по 16 г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в/о. по 10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4 мг/мл по 1 мл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Анальгін-Здоров'я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Папаверин-Дарниця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20 мг/мл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9120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Ерідон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Депакін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Вальпроєва кислота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сироп 57.64 мг/1 мл по 150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10/2023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2310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>
          <w:trHeight w:val="310" w:hRule="atLeast"/>
        </w:trPr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для лікування дітей, хворих на ДЦП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040C28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05/24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52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96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Тест на антиген коронавірусу 2019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-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nCOV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метод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латерального потоку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№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(20шт в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10/25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9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43"/>
        <w:gridCol w:w="4995"/>
        <w:gridCol w:w="1057"/>
      </w:tblGrid>
      <w:tr>
        <w:trPr>
          <w:trHeight w:val="564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«Глюдор»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Application>LibreOffice/7.5.9.2$Windows_X86_64 LibreOffice_project/cdeefe45c17511d326101eed8008ac4092f278a9</Application>
  <AppVersion>15.0000</AppVersion>
  <Pages>2</Pages>
  <Words>550</Words>
  <Characters>3018</Characters>
  <CharactersWithSpaces>4243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2024-02-01T11:40:27Z</cp:lastPrinted>
  <dcterms:modified xsi:type="dcterms:W3CDTF">2024-03-11T15:08:35Z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