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9D6764">
        <w:rPr>
          <w:rFonts w:ascii="Arial" w:hAnsi="Arial" w:cs="Arial"/>
          <w:b/>
          <w:sz w:val="24"/>
          <w:szCs w:val="24"/>
          <w:lang w:val="en-US"/>
        </w:rPr>
        <w:t>29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9F3760">
        <w:rPr>
          <w:rFonts w:ascii="Arial" w:hAnsi="Arial" w:cs="Arial"/>
          <w:b/>
          <w:sz w:val="24"/>
          <w:szCs w:val="24"/>
        </w:rPr>
        <w:t>12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F366A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F366A1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9D676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DA09A8" w:rsidRPr="00664105" w:rsidTr="00AE3FB2">
        <w:trPr>
          <w:trHeight w:val="304"/>
        </w:trPr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Антраль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Антраль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A09A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0.2 г 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9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12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Default="00D50B9E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300 мг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500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0E2B56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189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конце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нтрат для р-ну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7.5 % по 1</w:t>
            </w: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№1 у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скл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«Юрія-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942BA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100 мг/мл по 300 мл у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Мезакар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11.2028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9F4A2E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801113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C23487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841D7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Тізалуд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Фінлепсин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612D1">
              <w:rPr>
                <w:rFonts w:ascii="Arial" w:eastAsia="Calibri" w:hAnsi="Arial" w:cs="Arial"/>
                <w:sz w:val="24"/>
                <w:szCs w:val="24"/>
              </w:rPr>
              <w:t>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</w:rPr>
              <w:t xml:space="preserve">таблетки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</w:rPr>
              <w:t>прол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</w:rPr>
              <w:t>./д. по 200 мг №50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EA0EAB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0B9E" w:rsidRPr="00664105" w:rsidTr="00C27D48">
        <w:trPr>
          <w:trHeight w:val="316"/>
        </w:trPr>
        <w:tc>
          <w:tcPr>
            <w:tcW w:w="11058" w:type="dxa"/>
            <w:gridSpan w:val="7"/>
          </w:tcPr>
          <w:p w:rsidR="00D50B9E" w:rsidRPr="00655509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560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1C79FD" w:rsidRDefault="00E81CF9" w:rsidP="00E81CF9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Солу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Default="00E81CF9" w:rsidP="00E81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864076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итиколіну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Default="00E5696D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864076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Зонік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регабалін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25 мг №28 (14х2)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0433F" w:rsidRPr="00664105" w:rsidRDefault="00841D7C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410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0433F" w:rsidRPr="00664105" w:rsidTr="00C27D48">
        <w:tc>
          <w:tcPr>
            <w:tcW w:w="11058" w:type="dxa"/>
            <w:gridSpan w:val="7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Default="00A0433F" w:rsidP="00A0433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1680</w:t>
            </w:r>
          </w:p>
        </w:tc>
        <w:tc>
          <w:tcPr>
            <w:tcW w:w="1134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Default="007F1115" w:rsidP="007F1115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1115" w:rsidRDefault="007F1115" w:rsidP="007F111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406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927EA2" w:rsidRDefault="007F1115" w:rsidP="007F1115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Ботокс</w:t>
            </w:r>
            <w:proofErr w:type="spellEnd"/>
          </w:p>
        </w:tc>
        <w:tc>
          <w:tcPr>
            <w:tcW w:w="1843" w:type="dxa"/>
          </w:tcPr>
          <w:p w:rsidR="007F1115" w:rsidRPr="002D6859" w:rsidRDefault="007F1115" w:rsidP="007F1115">
            <w:pPr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отулінічний</w:t>
            </w:r>
            <w:proofErr w:type="spellEnd"/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токсин типу А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орошок для розчину для ін’єкцій.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«ОДКЛ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7F1115" w:rsidRDefault="007F1115" w:rsidP="007F111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7F1115" w:rsidRPr="00664105" w:rsidTr="00AE3FB2">
        <w:trPr>
          <w:trHeight w:val="277"/>
        </w:trPr>
        <w:tc>
          <w:tcPr>
            <w:tcW w:w="2269" w:type="dxa"/>
          </w:tcPr>
          <w:p w:rsidR="007F1115" w:rsidRPr="00BC1337" w:rsidRDefault="007F1115" w:rsidP="007F111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7F1115" w:rsidRPr="00BC1337" w:rsidRDefault="007F1115" w:rsidP="007F1115">
            <w:pPr>
              <w:jc w:val="center"/>
            </w:pP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 12 120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р.10 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Ковдра рятувальна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4815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7F1115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7F1115" w:rsidRPr="00664105" w:rsidTr="00C27D48">
        <w:trPr>
          <w:trHeight w:val="538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4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78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2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Щиток захисний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Тест смужки для сечі №100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1795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59024B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730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5950B6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37628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59024B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  <w:bookmarkStart w:id="0" w:name="_GoBack"/>
            <w:bookmarkEnd w:id="0"/>
            <w:r w:rsidR="007F1115">
              <w:rPr>
                <w:rFonts w:ascii="Arial" w:eastAsia="Calibri" w:hAnsi="Arial" w:cs="Arial"/>
                <w:sz w:val="24"/>
                <w:szCs w:val="24"/>
              </w:rPr>
              <w:t>05</w:t>
            </w:r>
            <w:r w:rsidR="007F1115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05528E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62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230FCB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10CD"/>
    <w:rsid w:val="0056091D"/>
    <w:rsid w:val="005879CF"/>
    <w:rsid w:val="0059024B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D6609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9386F"/>
    <w:rsid w:val="007D1ECC"/>
    <w:rsid w:val="007D6CE8"/>
    <w:rsid w:val="007E2150"/>
    <w:rsid w:val="007E24CA"/>
    <w:rsid w:val="007F1115"/>
    <w:rsid w:val="007F44DD"/>
    <w:rsid w:val="007F7008"/>
    <w:rsid w:val="00801113"/>
    <w:rsid w:val="008072A0"/>
    <w:rsid w:val="008113CC"/>
    <w:rsid w:val="00821EC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D8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23393"/>
    <w:rsid w:val="00E32526"/>
    <w:rsid w:val="00E32EFF"/>
    <w:rsid w:val="00E4361C"/>
    <w:rsid w:val="00E44648"/>
    <w:rsid w:val="00E5696D"/>
    <w:rsid w:val="00E626BD"/>
    <w:rsid w:val="00E77D1A"/>
    <w:rsid w:val="00E80199"/>
    <w:rsid w:val="00E81CF9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061D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30FE-42F6-4033-83A8-BF6A1CFF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11</Pages>
  <Words>10673</Words>
  <Characters>6084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273</cp:revision>
  <cp:lastPrinted>2025-04-25T06:22:00Z</cp:lastPrinted>
  <dcterms:created xsi:type="dcterms:W3CDTF">2024-08-06T06:37:00Z</dcterms:created>
  <dcterms:modified xsi:type="dcterms:W3CDTF">2025-12-25T12:19:00Z</dcterms:modified>
  <dc:language>uk-UA</dc:language>
</cp:coreProperties>
</file>