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4C0887">
        <w:rPr>
          <w:rFonts w:ascii="Arial" w:hAnsi="Arial" w:cs="Arial"/>
          <w:b/>
          <w:sz w:val="24"/>
          <w:szCs w:val="24"/>
        </w:rPr>
        <w:t>дитяча лікарня №5 »ХМР станом 31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730A64" w:rsidRPr="00664105">
        <w:rPr>
          <w:rFonts w:ascii="Arial" w:hAnsi="Arial" w:cs="Arial"/>
          <w:b/>
          <w:sz w:val="24"/>
          <w:szCs w:val="24"/>
        </w:rPr>
        <w:t>03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розчин оральний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 300 мл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2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сироп 200 мг/5 мл флакон 200 мл з шприцом-дозатором 5 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гранули для орального розчину 500 мг саше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гептагідрату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5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Топамакс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50 мг флакон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плівковою оболонкою 25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1110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64105" w:rsidRDefault="006F3B5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L-лізину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есцинат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L-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лизина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эсцинат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 мг/мл ампула 5 мл у пачці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F2322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5700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Нейромідин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Іпідакрин</w:t>
            </w:r>
            <w:proofErr w:type="spellEnd"/>
          </w:p>
        </w:tc>
        <w:tc>
          <w:tcPr>
            <w:tcW w:w="2268" w:type="dxa"/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20 мг блістер №50</w:t>
            </w:r>
          </w:p>
        </w:tc>
        <w:tc>
          <w:tcPr>
            <w:tcW w:w="2126" w:type="dxa"/>
            <w:gridSpan w:val="2"/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Неовітам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Вітамін B1 (тіаміну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), Вітамін В6 (піридоксину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), Вітамін В12 (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ціанокобаломин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Нообут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IC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0,1 г блістер в пачці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Нуклео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ЦМФ форте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ридин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Релаксил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Екстракт валеріани водно-спиртовий сухий, екстракт м'яти перцевої сухий, екстракт меліси сухий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тверді блістер у пачці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25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="00C6149B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-йод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нашкірний 100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02.2027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Аллева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Концентрати та екстракти із рослинної сировини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150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Екстракт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3150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Трилептал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Окскарбазепін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300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таблетки 250 мг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80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№28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7317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E32526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7317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4380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lastRenderedPageBreak/>
              <w:t>Благодійна допомога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845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12 120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23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Захисні халати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нетканні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реанімаційна дитяча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488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S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припудр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bookmarkStart w:id="0" w:name="_GoBack"/>
            <w:bookmarkEnd w:id="0"/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317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Тест на антиген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nCOV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(метод латерального потоку)W196 “WONDFO” №1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37393"/>
    <w:rsid w:val="000A237F"/>
    <w:rsid w:val="000B4737"/>
    <w:rsid w:val="001905F6"/>
    <w:rsid w:val="001B4344"/>
    <w:rsid w:val="001E14B5"/>
    <w:rsid w:val="00270A83"/>
    <w:rsid w:val="002A127A"/>
    <w:rsid w:val="003034BC"/>
    <w:rsid w:val="00327176"/>
    <w:rsid w:val="0036011A"/>
    <w:rsid w:val="003F15C8"/>
    <w:rsid w:val="00414CDC"/>
    <w:rsid w:val="00421E7D"/>
    <w:rsid w:val="00433750"/>
    <w:rsid w:val="00494D45"/>
    <w:rsid w:val="004C0887"/>
    <w:rsid w:val="00511E29"/>
    <w:rsid w:val="005210CD"/>
    <w:rsid w:val="0056091D"/>
    <w:rsid w:val="005B4DF7"/>
    <w:rsid w:val="005C6AA7"/>
    <w:rsid w:val="00664105"/>
    <w:rsid w:val="006D6609"/>
    <w:rsid w:val="006E598E"/>
    <w:rsid w:val="006F3B5F"/>
    <w:rsid w:val="007207F3"/>
    <w:rsid w:val="00730A64"/>
    <w:rsid w:val="007317B3"/>
    <w:rsid w:val="00785804"/>
    <w:rsid w:val="007D6CE8"/>
    <w:rsid w:val="007E24CA"/>
    <w:rsid w:val="00821EC5"/>
    <w:rsid w:val="008524B2"/>
    <w:rsid w:val="0086357A"/>
    <w:rsid w:val="008C4621"/>
    <w:rsid w:val="0094249D"/>
    <w:rsid w:val="009B6D0E"/>
    <w:rsid w:val="009D1CC7"/>
    <w:rsid w:val="009D7142"/>
    <w:rsid w:val="009E6D0B"/>
    <w:rsid w:val="00A6257D"/>
    <w:rsid w:val="00A77DC7"/>
    <w:rsid w:val="00B34716"/>
    <w:rsid w:val="00B81E57"/>
    <w:rsid w:val="00B83074"/>
    <w:rsid w:val="00BF1B1B"/>
    <w:rsid w:val="00C170CD"/>
    <w:rsid w:val="00C27D48"/>
    <w:rsid w:val="00C35A74"/>
    <w:rsid w:val="00C6149B"/>
    <w:rsid w:val="00C73FAD"/>
    <w:rsid w:val="00D9796D"/>
    <w:rsid w:val="00DB5BAE"/>
    <w:rsid w:val="00E32526"/>
    <w:rsid w:val="00E44648"/>
    <w:rsid w:val="00E626BD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20F6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8224-6EA7-438D-8352-649FD0F8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15</Pages>
  <Words>13907</Words>
  <Characters>7928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52</cp:revision>
  <cp:lastPrinted>2025-03-20T11:15:00Z</cp:lastPrinted>
  <dcterms:created xsi:type="dcterms:W3CDTF">2024-08-06T06:37:00Z</dcterms:created>
  <dcterms:modified xsi:type="dcterms:W3CDTF">2025-03-27T13:37:00Z</dcterms:modified>
  <dc:language>uk-UA</dc:language>
</cp:coreProperties>
</file>